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E5D83" w14:textId="77777777" w:rsidR="00197CE9" w:rsidRPr="002008DE" w:rsidRDefault="00197CE9" w:rsidP="00197CE9">
      <w:pPr>
        <w:pStyle w:val="1"/>
        <w:spacing w:line="240" w:lineRule="auto"/>
        <w:rPr>
          <w:sz w:val="24"/>
          <w:szCs w:val="24"/>
        </w:rPr>
      </w:pPr>
      <w:r w:rsidRPr="002008DE">
        <w:rPr>
          <w:color w:val="000000"/>
          <w:sz w:val="24"/>
          <w:szCs w:val="24"/>
        </w:rPr>
        <w:t>П</w:t>
      </w:r>
      <w:r>
        <w:rPr>
          <w:color w:val="000000"/>
          <w:sz w:val="24"/>
          <w:szCs w:val="24"/>
        </w:rPr>
        <w:t>риложение</w:t>
      </w:r>
      <w:r w:rsidRPr="002008DE">
        <w:rPr>
          <w:color w:val="000000"/>
          <w:sz w:val="24"/>
          <w:szCs w:val="24"/>
        </w:rPr>
        <w:t xml:space="preserve"> № </w:t>
      </w:r>
      <w:r>
        <w:rPr>
          <w:color w:val="000000"/>
          <w:sz w:val="24"/>
          <w:szCs w:val="24"/>
        </w:rPr>
        <w:t>3</w:t>
      </w:r>
    </w:p>
    <w:p w14:paraId="1E766207" w14:textId="77777777" w:rsidR="00197CE9" w:rsidRPr="002008DE" w:rsidRDefault="00197CE9" w:rsidP="00197CE9">
      <w:pPr>
        <w:jc w:val="right"/>
        <w:rPr>
          <w:b/>
          <w:bCs/>
        </w:rPr>
      </w:pPr>
      <w:r>
        <w:rPr>
          <w:b/>
          <w:bCs/>
        </w:rPr>
        <w:t>к</w:t>
      </w:r>
      <w:r w:rsidRPr="002008DE">
        <w:rPr>
          <w:b/>
          <w:bCs/>
        </w:rPr>
        <w:t xml:space="preserve"> Положению о порядке аккредитации организаций </w:t>
      </w:r>
    </w:p>
    <w:p w14:paraId="3E9B6E8D" w14:textId="77777777" w:rsidR="00197CE9" w:rsidRPr="002008DE" w:rsidRDefault="00197CE9" w:rsidP="00197CE9">
      <w:pPr>
        <w:jc w:val="right"/>
        <w:rPr>
          <w:b/>
          <w:bCs/>
        </w:rPr>
      </w:pPr>
      <w:r w:rsidRPr="002008DE">
        <w:rPr>
          <w:b/>
          <w:bCs/>
        </w:rPr>
        <w:t xml:space="preserve">и иных лиц при Союзе АУ </w:t>
      </w:r>
      <w:r>
        <w:rPr>
          <w:b/>
          <w:bCs/>
        </w:rPr>
        <w:t>НЦРБ</w:t>
      </w:r>
    </w:p>
    <w:p w14:paraId="6BECE00D" w14:textId="77777777" w:rsidR="00197CE9" w:rsidRPr="002008DE" w:rsidRDefault="00197CE9" w:rsidP="00197CE9">
      <w:pPr>
        <w:rPr>
          <w:b/>
        </w:rPr>
      </w:pPr>
    </w:p>
    <w:p w14:paraId="795C41D7" w14:textId="77777777" w:rsidR="00197CE9" w:rsidRPr="002008DE" w:rsidRDefault="00197CE9" w:rsidP="00197CE9">
      <w:pPr>
        <w:widowControl w:val="0"/>
        <w:jc w:val="center"/>
        <w:rPr>
          <w:b/>
          <w:bCs/>
        </w:rPr>
      </w:pPr>
      <w:r w:rsidRPr="002008DE">
        <w:rPr>
          <w:b/>
          <w:bCs/>
        </w:rPr>
        <w:t>СОГЛАШЕНИЕ</w:t>
      </w:r>
    </w:p>
    <w:p w14:paraId="6356BD54" w14:textId="77777777" w:rsidR="00197CE9" w:rsidRPr="002008DE" w:rsidRDefault="00197CE9" w:rsidP="00197CE9">
      <w:pPr>
        <w:widowControl w:val="0"/>
        <w:jc w:val="center"/>
        <w:rPr>
          <w:b/>
          <w:bCs/>
        </w:rPr>
      </w:pPr>
      <w:r w:rsidRPr="002008DE">
        <w:rPr>
          <w:b/>
          <w:bCs/>
        </w:rPr>
        <w:t xml:space="preserve">о сотрудничестве Союза АУ </w:t>
      </w:r>
      <w:r>
        <w:rPr>
          <w:b/>
          <w:bCs/>
        </w:rPr>
        <w:t>НЦРБ</w:t>
      </w:r>
      <w:r w:rsidRPr="002008DE">
        <w:rPr>
          <w:b/>
          <w:bCs/>
        </w:rPr>
        <w:t xml:space="preserve"> и _______________</w:t>
      </w:r>
    </w:p>
    <w:p w14:paraId="11AA32D5" w14:textId="77777777" w:rsidR="00197CE9" w:rsidRPr="002008DE" w:rsidRDefault="00197CE9" w:rsidP="00197CE9">
      <w:pPr>
        <w:widowControl w:val="0"/>
        <w:jc w:val="center"/>
        <w:rPr>
          <w:b/>
          <w:bCs/>
          <w:i/>
          <w:iCs/>
        </w:rPr>
      </w:pPr>
      <w:r w:rsidRPr="002008DE">
        <w:rPr>
          <w:b/>
          <w:bCs/>
        </w:rPr>
        <w:t xml:space="preserve">                                          </w:t>
      </w:r>
      <w:r w:rsidRPr="002008DE">
        <w:rPr>
          <w:b/>
          <w:bCs/>
          <w:i/>
          <w:iCs/>
        </w:rPr>
        <w:t>наименование организации (иного лица)</w:t>
      </w:r>
    </w:p>
    <w:p w14:paraId="496CDDC2" w14:textId="77777777" w:rsidR="00197CE9" w:rsidRPr="002008DE" w:rsidRDefault="00197CE9" w:rsidP="00197CE9">
      <w:pPr>
        <w:widowControl w:val="0"/>
        <w:jc w:val="both"/>
      </w:pPr>
    </w:p>
    <w:p w14:paraId="70844725" w14:textId="77777777" w:rsidR="00197CE9" w:rsidRPr="002008DE" w:rsidRDefault="00197CE9" w:rsidP="00197CE9">
      <w:pPr>
        <w:widowControl w:val="0"/>
        <w:jc w:val="center"/>
        <w:rPr>
          <w:b/>
          <w:bCs/>
        </w:rPr>
      </w:pPr>
    </w:p>
    <w:p w14:paraId="1DAA5752" w14:textId="77777777" w:rsidR="00197CE9" w:rsidRPr="002008DE" w:rsidRDefault="00197CE9" w:rsidP="00197CE9">
      <w:pPr>
        <w:widowControl w:val="0"/>
        <w:jc w:val="both"/>
      </w:pPr>
    </w:p>
    <w:p w14:paraId="2AE4A873" w14:textId="77777777" w:rsidR="00197CE9" w:rsidRPr="002008DE" w:rsidRDefault="00197CE9" w:rsidP="00197CE9">
      <w:pPr>
        <w:widowControl w:val="0"/>
        <w:jc w:val="both"/>
        <w:rPr>
          <w:bCs/>
        </w:rPr>
      </w:pPr>
      <w:r w:rsidRPr="002008DE">
        <w:rPr>
          <w:bCs/>
        </w:rPr>
        <w:t xml:space="preserve">“__” _________ 202__ г.                                                                                      </w:t>
      </w:r>
      <w:r>
        <w:rPr>
          <w:bCs/>
        </w:rPr>
        <w:t xml:space="preserve">                </w:t>
      </w:r>
      <w:r w:rsidRPr="002008DE">
        <w:rPr>
          <w:bCs/>
        </w:rPr>
        <w:t xml:space="preserve">г. </w:t>
      </w:r>
      <w:r>
        <w:rPr>
          <w:bCs/>
        </w:rPr>
        <w:t>Москва</w:t>
      </w:r>
      <w:r w:rsidRPr="002008DE">
        <w:rPr>
          <w:bCs/>
        </w:rPr>
        <w:t xml:space="preserve">              </w:t>
      </w:r>
    </w:p>
    <w:p w14:paraId="211F1E71" w14:textId="77777777" w:rsidR="00197CE9" w:rsidRPr="002008DE" w:rsidRDefault="00197CE9" w:rsidP="00197CE9">
      <w:pPr>
        <w:widowControl w:val="0"/>
        <w:jc w:val="both"/>
      </w:pPr>
    </w:p>
    <w:p w14:paraId="41DFA6A6" w14:textId="77777777" w:rsidR="00197CE9" w:rsidRPr="002008DE" w:rsidRDefault="00197CE9" w:rsidP="00197CE9">
      <w:pPr>
        <w:widowControl w:val="0"/>
        <w:jc w:val="both"/>
      </w:pPr>
      <w:r w:rsidRPr="002008DE">
        <w:t>1. ОБЩИЕ ПОЛОЖЕНИЯ</w:t>
      </w:r>
    </w:p>
    <w:p w14:paraId="3C0900BA" w14:textId="77777777" w:rsidR="00197CE9" w:rsidRPr="002008DE" w:rsidRDefault="00197CE9" w:rsidP="00197CE9">
      <w:pPr>
        <w:widowControl w:val="0"/>
        <w:ind w:firstLine="567"/>
        <w:jc w:val="both"/>
      </w:pPr>
    </w:p>
    <w:p w14:paraId="406DB1EB" w14:textId="77777777" w:rsidR="00197CE9" w:rsidRPr="002008DE" w:rsidRDefault="00197CE9" w:rsidP="00197CE9">
      <w:pPr>
        <w:widowControl w:val="0"/>
        <w:ind w:firstLine="567"/>
        <w:jc w:val="both"/>
      </w:pPr>
      <w:r w:rsidRPr="002008DE">
        <w:t xml:space="preserve">1.1. Настоящее Соглашение регулирует порядок взаимодействия Союза арбитражных управляющих </w:t>
      </w:r>
      <w:r w:rsidRPr="00315E51">
        <w:rPr>
          <w:bCs/>
        </w:rPr>
        <w:t>«Национальный Центр Реструктуризации и Банкротства»</w:t>
      </w:r>
      <w:r w:rsidRPr="002008DE">
        <w:t xml:space="preserve"> (далее – Союз), его членов – арбитражных управляющих (далее – Арбитражные управляющие) и аккредитованной при Союзе организации</w:t>
      </w:r>
      <w:r>
        <w:t>/</w:t>
      </w:r>
      <w:r w:rsidRPr="002008DE">
        <w:t>иного лица (далее – Аккредитованные лица) при разрешении вопросов, возникающих в связи с реализацией законодательства о несостоятельности (банкротстве).</w:t>
      </w:r>
    </w:p>
    <w:p w14:paraId="4B4F4FC0" w14:textId="77777777" w:rsidR="00197CE9" w:rsidRPr="002008DE" w:rsidRDefault="00197CE9" w:rsidP="00197CE9">
      <w:pPr>
        <w:widowControl w:val="0"/>
        <w:tabs>
          <w:tab w:val="left" w:pos="851"/>
        </w:tabs>
        <w:ind w:firstLine="567"/>
        <w:jc w:val="both"/>
      </w:pPr>
      <w:r w:rsidRPr="002008DE">
        <w:t>1.2. Взаимодействие Аккредитованного лица с Союзом и/или Арбитражными управляющими осуществляется путем исполнения поручений (договоры поручения, оказания услуг, иные договоры) Союза и/или Арбитражных управляющих по выполнению определенных работ в отношении конкретных организаций, находящихся в процедуре банкротства - неплатежеспособных организаций, а также в иных формах, предусмотренных настоящим Соглашением.</w:t>
      </w:r>
    </w:p>
    <w:p w14:paraId="3CB34840" w14:textId="77777777" w:rsidR="00197CE9" w:rsidRPr="002008DE" w:rsidRDefault="00197CE9" w:rsidP="00197CE9">
      <w:pPr>
        <w:widowControl w:val="0"/>
        <w:jc w:val="both"/>
      </w:pPr>
    </w:p>
    <w:p w14:paraId="44E78E60" w14:textId="77777777" w:rsidR="00197CE9" w:rsidRPr="002008DE" w:rsidRDefault="00197CE9" w:rsidP="00197CE9">
      <w:pPr>
        <w:widowControl w:val="0"/>
        <w:jc w:val="both"/>
      </w:pPr>
      <w:r w:rsidRPr="002008DE">
        <w:t>2. ПРАВА И ОБЯЗАННОСТИ СТОРОН</w:t>
      </w:r>
    </w:p>
    <w:p w14:paraId="024DCB86" w14:textId="77777777" w:rsidR="00197CE9" w:rsidRPr="002008DE" w:rsidRDefault="00197CE9" w:rsidP="00197CE9">
      <w:pPr>
        <w:widowControl w:val="0"/>
        <w:jc w:val="both"/>
      </w:pPr>
    </w:p>
    <w:p w14:paraId="7D859490" w14:textId="77777777" w:rsidR="00197CE9" w:rsidRPr="002008DE" w:rsidRDefault="00197CE9" w:rsidP="00197CE9">
      <w:pPr>
        <w:widowControl w:val="0"/>
        <w:ind w:firstLine="567"/>
        <w:jc w:val="both"/>
      </w:pPr>
      <w:r w:rsidRPr="002008DE">
        <w:t>2.1. Аккредитованное лицо:</w:t>
      </w:r>
    </w:p>
    <w:p w14:paraId="08A1640F" w14:textId="77777777" w:rsidR="00197CE9" w:rsidRPr="002E1232" w:rsidRDefault="00197CE9" w:rsidP="00197CE9">
      <w:pPr>
        <w:jc w:val="both"/>
      </w:pPr>
      <w:r w:rsidRPr="002008DE">
        <w:t xml:space="preserve">а) представляет отчет о заключенных договорах </w:t>
      </w:r>
      <w:r w:rsidRPr="002008DE">
        <w:rPr>
          <w:color w:val="000000"/>
        </w:rPr>
        <w:t>об оказании услуг по сопровождению процедур банкротства между аккредитованным лицом и арбитражным управляющим</w:t>
      </w:r>
      <w:r w:rsidRPr="002008DE">
        <w:rPr>
          <w:b/>
          <w:bCs/>
          <w:color w:val="000000"/>
        </w:rPr>
        <w:t xml:space="preserve"> </w:t>
      </w:r>
      <w:r w:rsidRPr="002008DE">
        <w:t>каждые 6 (шесть) месяцев, начиная с даты аккредитации, но не позднее 5 рабочих дней до истечения срока аккредитации (Приложение №2</w:t>
      </w:r>
      <w:r>
        <w:t xml:space="preserve"> к </w:t>
      </w:r>
      <w:r w:rsidRPr="002E1232">
        <w:t>Положени</w:t>
      </w:r>
      <w:r>
        <w:t>ю</w:t>
      </w:r>
      <w:r w:rsidRPr="002E1232">
        <w:t xml:space="preserve"> </w:t>
      </w:r>
      <w:r w:rsidRPr="002C6EFC">
        <w:t>о порядке аккредитации организаций и иных лиц при Союзе АУ НЦРБ</w:t>
      </w:r>
      <w:r w:rsidRPr="002E1232">
        <w:t>);</w:t>
      </w:r>
    </w:p>
    <w:p w14:paraId="328854B7" w14:textId="77777777" w:rsidR="00197CE9" w:rsidRPr="002008DE" w:rsidRDefault="00197CE9" w:rsidP="00197CE9">
      <w:pPr>
        <w:widowControl w:val="0"/>
        <w:tabs>
          <w:tab w:val="left" w:pos="851"/>
        </w:tabs>
        <w:ind w:firstLine="567"/>
        <w:jc w:val="both"/>
      </w:pPr>
      <w:r w:rsidRPr="002008DE">
        <w:t>б) несет ответственность за сохранность (возвратность) документов, переданных ему Союзом и/или Арбитражными управляющими для исполнения соответствующего поручения;</w:t>
      </w:r>
    </w:p>
    <w:p w14:paraId="3326ABFA" w14:textId="77777777" w:rsidR="00197CE9" w:rsidRPr="002008DE" w:rsidRDefault="00197CE9" w:rsidP="00197CE9">
      <w:pPr>
        <w:widowControl w:val="0"/>
        <w:tabs>
          <w:tab w:val="left" w:pos="851"/>
        </w:tabs>
        <w:ind w:firstLine="567"/>
        <w:jc w:val="both"/>
      </w:pPr>
      <w:r w:rsidRPr="002008DE">
        <w:t xml:space="preserve">в) в случае возмещения из средств компенсационного фонда Союза убытков, причиненных членом Союза вследствие неисполнения или ненадлежащего исполнения аккредитованным лицом условий настоящего Соглашения, аккредитованное лицо обязуется возместить Союзу выплаченные из компенсационного фонда денежные средства; </w:t>
      </w:r>
    </w:p>
    <w:p w14:paraId="6DA051D6" w14:textId="77777777" w:rsidR="00197CE9" w:rsidRPr="002008DE" w:rsidRDefault="00197CE9" w:rsidP="00197CE9">
      <w:pPr>
        <w:widowControl w:val="0"/>
        <w:tabs>
          <w:tab w:val="left" w:pos="851"/>
        </w:tabs>
        <w:ind w:firstLine="567"/>
        <w:jc w:val="both"/>
      </w:pPr>
      <w:r w:rsidRPr="002008DE">
        <w:t>г) вправе самостоятельно привлекать специалистов, в том числе не состоящих в штате Аккредитованной организации, для совершения отдельного вида (видов) действий (перепоручение, субподряд) только в случае, если это прямо предусмотрено договором поручения, оказания услуг, иным договором. В таком случае аккредитованное лицо несет ответственность за действия (бездействие) привлеченного специалиста (субподрядчика);</w:t>
      </w:r>
    </w:p>
    <w:p w14:paraId="3A706B8A" w14:textId="77777777" w:rsidR="00197CE9" w:rsidRPr="002008DE" w:rsidRDefault="00197CE9" w:rsidP="00197CE9">
      <w:pPr>
        <w:widowControl w:val="0"/>
        <w:tabs>
          <w:tab w:val="left" w:pos="851"/>
        </w:tabs>
        <w:ind w:firstLine="567"/>
        <w:jc w:val="both"/>
      </w:pPr>
      <w:r w:rsidRPr="002008DE">
        <w:t xml:space="preserve">д) не принимает на себя обязательств от имени Союза и/или Арбитражных управляющих, в т.ч. не заключает никаких сделок, имеющих для Союза и/или Арбитражных управляющих юридическую силу; </w:t>
      </w:r>
    </w:p>
    <w:p w14:paraId="05DA5D16" w14:textId="77777777" w:rsidR="00197CE9" w:rsidRPr="002008DE" w:rsidRDefault="00197CE9" w:rsidP="00197CE9">
      <w:pPr>
        <w:widowControl w:val="0"/>
        <w:tabs>
          <w:tab w:val="left" w:pos="851"/>
          <w:tab w:val="left" w:pos="993"/>
        </w:tabs>
        <w:ind w:firstLine="567"/>
        <w:jc w:val="both"/>
      </w:pPr>
      <w:r w:rsidRPr="002008DE">
        <w:t xml:space="preserve">е) не позднее 5 рабочих дней с момента поступления денежных средств на счет Аккредитованной организации по договорам, заключенным в период аккредитации </w:t>
      </w:r>
      <w:r w:rsidRPr="002008DE">
        <w:rPr>
          <w:shd w:val="clear" w:color="auto" w:fill="FFFFFF"/>
          <w:lang w:val="de-DE"/>
        </w:rPr>
        <w:t xml:space="preserve">с </w:t>
      </w:r>
      <w:r w:rsidRPr="002008DE">
        <w:rPr>
          <w:shd w:val="clear" w:color="auto" w:fill="FFFFFF"/>
        </w:rPr>
        <w:lastRenderedPageBreak/>
        <w:t>а</w:t>
      </w:r>
      <w:r w:rsidRPr="002008DE">
        <w:rPr>
          <w:shd w:val="clear" w:color="auto" w:fill="FFFFFF"/>
          <w:lang w:val="de-DE"/>
        </w:rPr>
        <w:t>рбитражными</w:t>
      </w:r>
      <w:r w:rsidRPr="002008DE">
        <w:rPr>
          <w:shd w:val="clear" w:color="auto" w:fill="FFFFFF"/>
        </w:rPr>
        <w:t xml:space="preserve"> управляющими - </w:t>
      </w:r>
      <w:r w:rsidRPr="002008DE">
        <w:rPr>
          <w:shd w:val="clear" w:color="auto" w:fill="FFFFFF"/>
          <w:lang w:val="de-DE"/>
        </w:rPr>
        <w:t>член</w:t>
      </w:r>
      <w:r w:rsidRPr="002008DE">
        <w:rPr>
          <w:shd w:val="clear" w:color="auto" w:fill="FFFFFF"/>
        </w:rPr>
        <w:t>ами</w:t>
      </w:r>
      <w:r w:rsidRPr="002008DE">
        <w:rPr>
          <w:rStyle w:val="apple-converted-space"/>
          <w:shd w:val="clear" w:color="auto" w:fill="FFFFFF"/>
          <w:lang w:val="de-DE"/>
        </w:rPr>
        <w:t> </w:t>
      </w:r>
      <w:r w:rsidRPr="002008DE">
        <w:rPr>
          <w:shd w:val="clear" w:color="auto" w:fill="FFFFFF"/>
        </w:rPr>
        <w:t>Союза</w:t>
      </w:r>
      <w:r w:rsidRPr="002008DE">
        <w:rPr>
          <w:rStyle w:val="apple-converted-space"/>
          <w:shd w:val="clear" w:color="auto" w:fill="FFFFFF"/>
          <w:lang w:val="de-DE"/>
        </w:rPr>
        <w:t> </w:t>
      </w:r>
      <w:r w:rsidRPr="002008DE">
        <w:rPr>
          <w:shd w:val="clear" w:color="auto" w:fill="FFFFFF"/>
          <w:lang w:val="de-DE"/>
        </w:rPr>
        <w:t>или</w:t>
      </w:r>
      <w:r w:rsidRPr="002008DE">
        <w:rPr>
          <w:shd w:val="clear" w:color="auto" w:fill="FFFFFF"/>
        </w:rPr>
        <w:t xml:space="preserve"> </w:t>
      </w:r>
      <w:r w:rsidRPr="002008DE">
        <w:rPr>
          <w:shd w:val="clear" w:color="auto" w:fill="FFFFFF"/>
          <w:lang w:val="de-DE"/>
        </w:rPr>
        <w:t>организациям</w:t>
      </w:r>
      <w:r w:rsidRPr="002008DE">
        <w:rPr>
          <w:shd w:val="clear" w:color="auto" w:fill="FFFFFF"/>
        </w:rPr>
        <w:t xml:space="preserve">и, арбитражными управляющими </w:t>
      </w:r>
      <w:r w:rsidRPr="002008DE">
        <w:rPr>
          <w:shd w:val="clear" w:color="auto" w:fill="FFFFFF"/>
          <w:lang w:val="de-DE"/>
        </w:rPr>
        <w:t>в</w:t>
      </w:r>
      <w:r w:rsidRPr="002008DE">
        <w:rPr>
          <w:shd w:val="clear" w:color="auto" w:fill="FFFFFF"/>
        </w:rPr>
        <w:t xml:space="preserve"> которых утверждены</w:t>
      </w:r>
      <w:r w:rsidRPr="002008DE">
        <w:rPr>
          <w:shd w:val="clear" w:color="auto" w:fill="FFFFFF"/>
          <w:lang w:val="de-DE"/>
        </w:rPr>
        <w:t xml:space="preserve"> член</w:t>
      </w:r>
      <w:r w:rsidRPr="002008DE">
        <w:rPr>
          <w:shd w:val="clear" w:color="auto" w:fill="FFFFFF"/>
        </w:rPr>
        <w:t>ы</w:t>
      </w:r>
      <w:r w:rsidRPr="002008DE">
        <w:rPr>
          <w:rStyle w:val="apple-converted-space"/>
          <w:shd w:val="clear" w:color="auto" w:fill="FFFFFF"/>
          <w:lang w:val="de-DE"/>
        </w:rPr>
        <w:t> </w:t>
      </w:r>
      <w:r w:rsidRPr="002008DE">
        <w:rPr>
          <w:shd w:val="clear" w:color="auto" w:fill="FFFFFF"/>
        </w:rPr>
        <w:t xml:space="preserve">Союза, на расчетный счет Союза </w:t>
      </w:r>
      <w:r w:rsidRPr="002008DE">
        <w:t>уплачиваются дополнительные взносы в размере 5% от полученных по договорам сумм.</w:t>
      </w:r>
      <w:r w:rsidRPr="002008DE">
        <w:rPr>
          <w:i/>
          <w:iCs/>
        </w:rPr>
        <w:t xml:space="preserve"> </w:t>
      </w:r>
      <w:r w:rsidRPr="002008DE">
        <w:t>В платежном поручении указывать назначение платежа «</w:t>
      </w:r>
      <w:r w:rsidRPr="002008DE">
        <w:rPr>
          <w:b/>
          <w:bCs/>
        </w:rPr>
        <w:t>Доп. взнос по Соглашению</w:t>
      </w:r>
      <w:r w:rsidRPr="002008DE">
        <w:t xml:space="preserve"> (с указание</w:t>
      </w:r>
      <w:r>
        <w:t>м</w:t>
      </w:r>
      <w:r w:rsidRPr="002008DE">
        <w:t xml:space="preserve"> даты)».</w:t>
      </w:r>
    </w:p>
    <w:p w14:paraId="2531C134" w14:textId="77777777" w:rsidR="00197CE9" w:rsidRPr="002008DE" w:rsidRDefault="00197CE9" w:rsidP="00197CE9">
      <w:pPr>
        <w:widowControl w:val="0"/>
        <w:ind w:firstLine="567"/>
        <w:jc w:val="both"/>
      </w:pPr>
      <w:r w:rsidRPr="002008DE">
        <w:t>2.2. Союз и/или Арбитражный управляющий:</w:t>
      </w:r>
    </w:p>
    <w:p w14:paraId="00CDA1D0" w14:textId="77777777" w:rsidR="00197CE9" w:rsidRPr="002008DE" w:rsidRDefault="00197CE9" w:rsidP="00197CE9">
      <w:pPr>
        <w:widowControl w:val="0"/>
        <w:ind w:firstLine="567"/>
        <w:jc w:val="both"/>
      </w:pPr>
      <w:r w:rsidRPr="002008DE">
        <w:t>а) дает поручение Аккредитованному лицу на выполнение определенного вида работ (оказания услуг) в отношении отдельных неплатежеспособных организаций;</w:t>
      </w:r>
    </w:p>
    <w:p w14:paraId="6BC56BB2" w14:textId="77777777" w:rsidR="00197CE9" w:rsidRPr="002008DE" w:rsidRDefault="00197CE9" w:rsidP="00197CE9">
      <w:pPr>
        <w:widowControl w:val="0"/>
        <w:ind w:firstLine="567"/>
        <w:jc w:val="both"/>
      </w:pPr>
      <w:r w:rsidRPr="002008DE">
        <w:t>б) снабжает их информацией и рабочими документами, необходимыми для выполнения поручений;</w:t>
      </w:r>
    </w:p>
    <w:p w14:paraId="0FC18248" w14:textId="77777777" w:rsidR="00197CE9" w:rsidRPr="002008DE" w:rsidRDefault="00197CE9" w:rsidP="00197CE9">
      <w:pPr>
        <w:widowControl w:val="0"/>
        <w:ind w:firstLine="567"/>
        <w:jc w:val="both"/>
      </w:pPr>
      <w:r w:rsidRPr="002008DE">
        <w:t>в) при необходимости выдает специалистам Аккредитованного лица документы, подтверждающие их полномочия перед третьими лицами в целях исполнения соответствующего поручения;</w:t>
      </w:r>
    </w:p>
    <w:p w14:paraId="0DAFB17E" w14:textId="77777777" w:rsidR="00197CE9" w:rsidRPr="002008DE" w:rsidRDefault="00197CE9" w:rsidP="00197CE9">
      <w:pPr>
        <w:widowControl w:val="0"/>
        <w:ind w:firstLine="567"/>
        <w:jc w:val="both"/>
      </w:pPr>
      <w:r w:rsidRPr="002008DE">
        <w:t>г) содействует при необходимости в организации контактов Аккредитованного лица с государственными органами в целях исполнения соответствующего поручения.</w:t>
      </w:r>
    </w:p>
    <w:p w14:paraId="2838DE21" w14:textId="77777777" w:rsidR="00197CE9" w:rsidRPr="002008DE" w:rsidRDefault="00197CE9" w:rsidP="00197CE9">
      <w:pPr>
        <w:widowControl w:val="0"/>
        <w:ind w:firstLine="567"/>
        <w:jc w:val="both"/>
      </w:pPr>
      <w:r w:rsidRPr="002008DE">
        <w:t>2.3. Стороны несут ответственность за распространение конфиденциальной информации, ставшей им известной в результате совместной работы.</w:t>
      </w:r>
    </w:p>
    <w:p w14:paraId="28AE6A09" w14:textId="77777777" w:rsidR="00197CE9" w:rsidRPr="002008DE" w:rsidRDefault="00197CE9" w:rsidP="00197CE9">
      <w:pPr>
        <w:widowControl w:val="0"/>
        <w:jc w:val="both"/>
      </w:pPr>
    </w:p>
    <w:p w14:paraId="4626B123" w14:textId="77777777" w:rsidR="00197CE9" w:rsidRDefault="00197CE9" w:rsidP="00197CE9">
      <w:pPr>
        <w:widowControl w:val="0"/>
        <w:numPr>
          <w:ilvl w:val="3"/>
          <w:numId w:val="1"/>
        </w:numPr>
        <w:tabs>
          <w:tab w:val="left" w:pos="426"/>
        </w:tabs>
        <w:ind w:left="0" w:firstLine="0"/>
      </w:pPr>
      <w:r w:rsidRPr="002008DE">
        <w:t xml:space="preserve">ДЕЙСТВИЯ АККРЕДИТОВАННОГО ЛИЦА В ОТНОШЕНИИ КОНКРЕТНЫХ </w:t>
      </w:r>
      <w:r>
        <w:t>НЕПЛАТЕЖЕСПОСОБНЫХ ОРГАНИЗАЦИЙ (ДОЛЖНИКОВ)</w:t>
      </w:r>
    </w:p>
    <w:p w14:paraId="55666BB2" w14:textId="77777777" w:rsidR="00197CE9" w:rsidRPr="002008DE" w:rsidRDefault="00197CE9" w:rsidP="00197CE9">
      <w:pPr>
        <w:widowControl w:val="0"/>
        <w:jc w:val="both"/>
      </w:pPr>
    </w:p>
    <w:p w14:paraId="553E7FA7" w14:textId="77777777" w:rsidR="00197CE9" w:rsidRPr="002008DE" w:rsidRDefault="00197CE9" w:rsidP="00197CE9">
      <w:pPr>
        <w:widowControl w:val="0"/>
        <w:jc w:val="both"/>
      </w:pPr>
      <w:r>
        <w:tab/>
      </w:r>
      <w:r w:rsidRPr="002008DE">
        <w:t>В отношении конкретной неплатежеспособной организации</w:t>
      </w:r>
      <w:r>
        <w:t xml:space="preserve"> (должников)</w:t>
      </w:r>
      <w:r w:rsidRPr="002008DE">
        <w:t xml:space="preserve"> в соответствии с отдельным поручением (поручениями) Союза и/или Арбитражного управляющего Аккредитованное лицо осуществляет следующие действия (в соответствии с целями и задачами</w:t>
      </w:r>
      <w:r>
        <w:t>,</w:t>
      </w:r>
      <w:r w:rsidRPr="002008DE">
        <w:t xml:space="preserve"> поставленными перед конкретным Аккредитованным лицом и ее профилем):</w:t>
      </w:r>
    </w:p>
    <w:p w14:paraId="59B40A66" w14:textId="16CD8A88" w:rsidR="00197CE9" w:rsidRPr="002008DE" w:rsidRDefault="00197CE9" w:rsidP="00197CE9">
      <w:pPr>
        <w:widowControl w:val="0"/>
        <w:ind w:firstLine="567"/>
        <w:jc w:val="both"/>
      </w:pPr>
      <w:r w:rsidRPr="002008DE">
        <w:t xml:space="preserve">а) осуществляет </w:t>
      </w:r>
      <w:r w:rsidRPr="000C3F5E">
        <w:t>_________________________________________________________</w:t>
      </w:r>
      <w:r w:rsidRPr="002008DE">
        <w:t>;</w:t>
      </w:r>
    </w:p>
    <w:p w14:paraId="6AFFD800" w14:textId="41D7CC46" w:rsidR="00197CE9" w:rsidRPr="002008DE" w:rsidRDefault="00197CE9" w:rsidP="00197CE9">
      <w:pPr>
        <w:widowControl w:val="0"/>
        <w:ind w:firstLine="567"/>
        <w:jc w:val="both"/>
      </w:pPr>
      <w:r w:rsidRPr="002008DE">
        <w:t>б) ___________________________________________</w:t>
      </w:r>
      <w:r>
        <w:t>__________________________</w:t>
      </w:r>
      <w:r w:rsidRPr="002008DE">
        <w:t>;</w:t>
      </w:r>
    </w:p>
    <w:p w14:paraId="740E55E2" w14:textId="19753B8E" w:rsidR="00197CE9" w:rsidRDefault="00197CE9" w:rsidP="00197CE9">
      <w:pPr>
        <w:widowControl w:val="0"/>
        <w:ind w:firstLine="567"/>
        <w:jc w:val="both"/>
      </w:pPr>
      <w:r w:rsidRPr="002008DE">
        <w:t>в</w:t>
      </w:r>
      <w:r>
        <w:t>) _____________________________________________________________________;</w:t>
      </w:r>
    </w:p>
    <w:p w14:paraId="6501AFDE" w14:textId="388FB4E4" w:rsidR="00197CE9" w:rsidRDefault="00197CE9" w:rsidP="00197CE9">
      <w:pPr>
        <w:widowControl w:val="0"/>
        <w:ind w:firstLine="567"/>
        <w:jc w:val="both"/>
      </w:pPr>
      <w:r>
        <w:t>г) _____________________________________________________________________;</w:t>
      </w:r>
    </w:p>
    <w:p w14:paraId="0CC4BFBA" w14:textId="72733459" w:rsidR="00197CE9" w:rsidRPr="002008DE" w:rsidRDefault="00197CE9" w:rsidP="00197CE9">
      <w:pPr>
        <w:widowControl w:val="0"/>
        <w:ind w:firstLine="567"/>
        <w:jc w:val="both"/>
      </w:pPr>
      <w:r>
        <w:t>д) _____________________________________________________________________.</w:t>
      </w:r>
    </w:p>
    <w:p w14:paraId="72FC0182" w14:textId="77777777" w:rsidR="00197CE9" w:rsidRDefault="00197CE9" w:rsidP="00197CE9">
      <w:pPr>
        <w:widowControl w:val="0"/>
        <w:tabs>
          <w:tab w:val="left" w:pos="851"/>
          <w:tab w:val="left" w:pos="1134"/>
        </w:tabs>
        <w:autoSpaceDE w:val="0"/>
        <w:autoSpaceDN w:val="0"/>
        <w:adjustRightInd w:val="0"/>
        <w:ind w:firstLine="567"/>
        <w:jc w:val="both"/>
      </w:pPr>
    </w:p>
    <w:p w14:paraId="48D2C83F" w14:textId="77777777" w:rsidR="00197CE9" w:rsidRDefault="00197CE9" w:rsidP="00197CE9">
      <w:pPr>
        <w:widowControl w:val="0"/>
        <w:tabs>
          <w:tab w:val="left" w:pos="851"/>
          <w:tab w:val="left" w:pos="1134"/>
        </w:tabs>
        <w:autoSpaceDE w:val="0"/>
        <w:autoSpaceDN w:val="0"/>
        <w:adjustRightInd w:val="0"/>
        <w:jc w:val="both"/>
      </w:pPr>
      <w:r w:rsidRPr="002008DE">
        <w:t>4. ОСНОВАНИЯ ДЛЯ ПРЕКРАЩЕНИЯ АККРЕДИТАЦИИ</w:t>
      </w:r>
    </w:p>
    <w:p w14:paraId="5958E1A4" w14:textId="77777777" w:rsidR="00197CE9" w:rsidRPr="002008DE" w:rsidRDefault="00197CE9" w:rsidP="00197CE9">
      <w:pPr>
        <w:widowControl w:val="0"/>
        <w:tabs>
          <w:tab w:val="left" w:pos="851"/>
          <w:tab w:val="left" w:pos="1134"/>
        </w:tabs>
        <w:autoSpaceDE w:val="0"/>
        <w:autoSpaceDN w:val="0"/>
        <w:adjustRightInd w:val="0"/>
        <w:ind w:firstLine="567"/>
        <w:jc w:val="both"/>
      </w:pPr>
    </w:p>
    <w:p w14:paraId="41D538BB" w14:textId="77777777" w:rsidR="00197CE9" w:rsidRPr="002008DE" w:rsidRDefault="00197CE9" w:rsidP="00197CE9">
      <w:pPr>
        <w:widowControl w:val="0"/>
        <w:tabs>
          <w:tab w:val="left" w:pos="567"/>
          <w:tab w:val="left" w:pos="1134"/>
        </w:tabs>
        <w:autoSpaceDE w:val="0"/>
        <w:autoSpaceDN w:val="0"/>
        <w:adjustRightInd w:val="0"/>
        <w:ind w:firstLine="567"/>
        <w:jc w:val="both"/>
      </w:pPr>
      <w:r>
        <w:t xml:space="preserve">4.1. </w:t>
      </w:r>
      <w:r w:rsidRPr="002008DE">
        <w:t>Аккредитация организации (иного лица) при Союзе прекращается (не возобновляется на следующий год) в случаях:</w:t>
      </w:r>
    </w:p>
    <w:p w14:paraId="2BEE23D8" w14:textId="77777777" w:rsidR="00197CE9" w:rsidRPr="002008DE" w:rsidRDefault="00197CE9" w:rsidP="00197CE9">
      <w:pPr>
        <w:widowControl w:val="0"/>
        <w:numPr>
          <w:ilvl w:val="1"/>
          <w:numId w:val="2"/>
        </w:numPr>
        <w:tabs>
          <w:tab w:val="left" w:pos="851"/>
          <w:tab w:val="left" w:pos="993"/>
        </w:tabs>
        <w:autoSpaceDE w:val="0"/>
        <w:autoSpaceDN w:val="0"/>
        <w:adjustRightInd w:val="0"/>
        <w:ind w:left="0" w:firstLine="567"/>
        <w:jc w:val="both"/>
      </w:pPr>
      <w:r w:rsidRPr="002008DE">
        <w:t>истечение срока аккредитации при Союзе (при непредставлении заявления о заключении соглашения на новый срок, подачи аккредитованным лицом заявления о прекращении аккредитации при Союзе;</w:t>
      </w:r>
    </w:p>
    <w:p w14:paraId="69E1DB00" w14:textId="77777777" w:rsidR="00197CE9" w:rsidRPr="002008DE" w:rsidRDefault="00197CE9" w:rsidP="00197CE9">
      <w:pPr>
        <w:widowControl w:val="0"/>
        <w:numPr>
          <w:ilvl w:val="1"/>
          <w:numId w:val="2"/>
        </w:numPr>
        <w:tabs>
          <w:tab w:val="left" w:pos="851"/>
          <w:tab w:val="left" w:pos="993"/>
        </w:tabs>
        <w:autoSpaceDE w:val="0"/>
        <w:autoSpaceDN w:val="0"/>
        <w:adjustRightInd w:val="0"/>
        <w:ind w:left="0" w:firstLine="567"/>
        <w:jc w:val="both"/>
      </w:pPr>
      <w:r w:rsidRPr="002008DE">
        <w:t xml:space="preserve">неуплаты ежегодного взноса за аккредитацию; </w:t>
      </w:r>
      <w:r w:rsidRPr="002008DE">
        <w:rPr>
          <w:shd w:val="clear" w:color="auto" w:fill="FFFFFF"/>
        </w:rPr>
        <w:t xml:space="preserve">наличия задолженности по дополнительным взносам более 15 рабочих дней; </w:t>
      </w:r>
    </w:p>
    <w:p w14:paraId="189B7E6C" w14:textId="77777777" w:rsidR="00197CE9" w:rsidRPr="002008DE" w:rsidRDefault="00197CE9" w:rsidP="00197CE9">
      <w:pPr>
        <w:widowControl w:val="0"/>
        <w:numPr>
          <w:ilvl w:val="1"/>
          <w:numId w:val="2"/>
        </w:numPr>
        <w:tabs>
          <w:tab w:val="left" w:pos="851"/>
          <w:tab w:val="left" w:pos="993"/>
        </w:tabs>
        <w:autoSpaceDE w:val="0"/>
        <w:autoSpaceDN w:val="0"/>
        <w:adjustRightInd w:val="0"/>
        <w:ind w:left="0" w:firstLine="567"/>
        <w:jc w:val="both"/>
      </w:pPr>
      <w:r w:rsidRPr="002008DE">
        <w:t>отзыва у аккредитованной организации (иных лиц) лицензии на совершение действий, требующих лицензирования;</w:t>
      </w:r>
    </w:p>
    <w:p w14:paraId="204DAC89" w14:textId="77777777" w:rsidR="00197CE9" w:rsidRPr="002008DE" w:rsidRDefault="00197CE9" w:rsidP="00197CE9">
      <w:pPr>
        <w:widowControl w:val="0"/>
        <w:numPr>
          <w:ilvl w:val="1"/>
          <w:numId w:val="2"/>
        </w:numPr>
        <w:tabs>
          <w:tab w:val="left" w:pos="851"/>
        </w:tabs>
        <w:autoSpaceDE w:val="0"/>
        <w:autoSpaceDN w:val="0"/>
        <w:adjustRightInd w:val="0"/>
        <w:ind w:left="0" w:firstLine="567"/>
        <w:jc w:val="both"/>
      </w:pPr>
      <w:r w:rsidRPr="002008DE">
        <w:t>отсутствия у организации (иного лица) документа, подтверждающего выполнение ими требований законодательства (членство в саморегулируемой организации, наличие договора обязательного страхования ответственности и др.);</w:t>
      </w:r>
    </w:p>
    <w:p w14:paraId="5EE0B931" w14:textId="77777777" w:rsidR="00197CE9" w:rsidRPr="002008DE" w:rsidRDefault="00197CE9" w:rsidP="00197CE9">
      <w:pPr>
        <w:widowControl w:val="0"/>
        <w:numPr>
          <w:ilvl w:val="1"/>
          <w:numId w:val="2"/>
        </w:numPr>
        <w:tabs>
          <w:tab w:val="left" w:pos="851"/>
          <w:tab w:val="left" w:pos="993"/>
        </w:tabs>
        <w:autoSpaceDE w:val="0"/>
        <w:autoSpaceDN w:val="0"/>
        <w:adjustRightInd w:val="0"/>
        <w:ind w:left="0" w:firstLine="567"/>
        <w:jc w:val="both"/>
      </w:pPr>
      <w:r w:rsidRPr="002008DE">
        <w:t>несоблюдение со стороны аккредитованного лица условий Соглашения;</w:t>
      </w:r>
    </w:p>
    <w:p w14:paraId="6E2D7A32" w14:textId="77777777" w:rsidR="00197CE9" w:rsidRPr="002008DE" w:rsidRDefault="00197CE9" w:rsidP="00197CE9">
      <w:pPr>
        <w:widowControl w:val="0"/>
        <w:numPr>
          <w:ilvl w:val="1"/>
          <w:numId w:val="2"/>
        </w:numPr>
        <w:tabs>
          <w:tab w:val="left" w:pos="851"/>
          <w:tab w:val="left" w:pos="993"/>
        </w:tabs>
        <w:autoSpaceDE w:val="0"/>
        <w:autoSpaceDN w:val="0"/>
        <w:adjustRightInd w:val="0"/>
        <w:ind w:left="0" w:firstLine="567"/>
        <w:jc w:val="both"/>
      </w:pPr>
      <w:r w:rsidRPr="002008DE">
        <w:rPr>
          <w:shd w:val="clear" w:color="auto" w:fill="FFFFFF"/>
        </w:rPr>
        <w:t xml:space="preserve">не представление аккредитованным лицом отчетов в установленный срок; </w:t>
      </w:r>
    </w:p>
    <w:p w14:paraId="61B5B17F" w14:textId="77777777" w:rsidR="00197CE9" w:rsidRPr="002008DE" w:rsidRDefault="00197CE9" w:rsidP="00197CE9">
      <w:pPr>
        <w:widowControl w:val="0"/>
        <w:numPr>
          <w:ilvl w:val="1"/>
          <w:numId w:val="2"/>
        </w:numPr>
        <w:tabs>
          <w:tab w:val="left" w:pos="851"/>
          <w:tab w:val="left" w:pos="993"/>
        </w:tabs>
        <w:autoSpaceDE w:val="0"/>
        <w:autoSpaceDN w:val="0"/>
        <w:adjustRightInd w:val="0"/>
        <w:ind w:left="0" w:firstLine="567"/>
        <w:jc w:val="both"/>
      </w:pPr>
      <w:r w:rsidRPr="002008DE">
        <w:t xml:space="preserve">оказание (выполнение) аккредитованными при Союзе лицами услуг (обязанностей) с нарушением требований действующего федерального законодательства, влекущее или могущее повлечь нарушение интересов арбитражных управляющих и саморегулируемой организации (как членов Союза и самого Союза, так и членов иных саморегулируемых </w:t>
      </w:r>
      <w:r w:rsidRPr="002008DE">
        <w:lastRenderedPageBreak/>
        <w:t>организаций и иных саморегулируемых организаций);</w:t>
      </w:r>
    </w:p>
    <w:p w14:paraId="12672D2E" w14:textId="77777777" w:rsidR="00197CE9" w:rsidRPr="002008DE" w:rsidRDefault="00197CE9" w:rsidP="00197CE9">
      <w:pPr>
        <w:widowControl w:val="0"/>
        <w:numPr>
          <w:ilvl w:val="1"/>
          <w:numId w:val="2"/>
        </w:numPr>
        <w:tabs>
          <w:tab w:val="left" w:pos="851"/>
          <w:tab w:val="left" w:pos="993"/>
        </w:tabs>
        <w:autoSpaceDE w:val="0"/>
        <w:autoSpaceDN w:val="0"/>
        <w:adjustRightInd w:val="0"/>
        <w:ind w:left="0" w:firstLine="567"/>
        <w:jc w:val="both"/>
      </w:pPr>
      <w:r w:rsidRPr="002008DE">
        <w:t>завышение аккредитованными лицами стоимости работ, представление недостоверной информации;</w:t>
      </w:r>
    </w:p>
    <w:p w14:paraId="1B3D0199" w14:textId="77777777" w:rsidR="00197CE9" w:rsidRPr="002008DE" w:rsidRDefault="00197CE9" w:rsidP="00197CE9">
      <w:pPr>
        <w:widowControl w:val="0"/>
        <w:numPr>
          <w:ilvl w:val="1"/>
          <w:numId w:val="2"/>
        </w:numPr>
        <w:tabs>
          <w:tab w:val="left" w:pos="851"/>
        </w:tabs>
        <w:autoSpaceDE w:val="0"/>
        <w:autoSpaceDN w:val="0"/>
        <w:adjustRightInd w:val="0"/>
        <w:ind w:left="0" w:firstLine="567"/>
        <w:jc w:val="both"/>
      </w:pPr>
      <w:r w:rsidRPr="002008DE">
        <w:t>по обоснованному ходатайству Генерального директора Союза.</w:t>
      </w:r>
    </w:p>
    <w:p w14:paraId="0E7313CA" w14:textId="77777777" w:rsidR="00197CE9" w:rsidRDefault="00197CE9" w:rsidP="00197CE9">
      <w:pPr>
        <w:widowControl w:val="0"/>
        <w:numPr>
          <w:ilvl w:val="1"/>
          <w:numId w:val="3"/>
        </w:numPr>
        <w:tabs>
          <w:tab w:val="left" w:pos="851"/>
          <w:tab w:val="left" w:pos="1134"/>
        </w:tabs>
        <w:autoSpaceDE w:val="0"/>
        <w:autoSpaceDN w:val="0"/>
        <w:adjustRightInd w:val="0"/>
        <w:ind w:firstLine="207"/>
        <w:jc w:val="both"/>
      </w:pPr>
      <w:r w:rsidRPr="002008DE">
        <w:t>При прекращении аккредитации соответствующая организация (иное лицо) исключается из реестра аккредитованных при Союзе организаций (иных лиц).</w:t>
      </w:r>
    </w:p>
    <w:p w14:paraId="6FCAF19D" w14:textId="77777777" w:rsidR="00197CE9" w:rsidRPr="001E424B" w:rsidRDefault="00197CE9" w:rsidP="00197CE9">
      <w:pPr>
        <w:widowControl w:val="0"/>
        <w:numPr>
          <w:ilvl w:val="1"/>
          <w:numId w:val="3"/>
        </w:numPr>
        <w:tabs>
          <w:tab w:val="left" w:pos="851"/>
          <w:tab w:val="left" w:pos="1134"/>
        </w:tabs>
        <w:autoSpaceDE w:val="0"/>
        <w:autoSpaceDN w:val="0"/>
        <w:adjustRightInd w:val="0"/>
        <w:ind w:firstLine="207"/>
        <w:jc w:val="both"/>
      </w:pPr>
      <w:r w:rsidRPr="000C3F5E">
        <w:rPr>
          <w:bCs/>
        </w:rPr>
        <w:t>В случае прекращения аккредитации в Союзе, уплаченные ранее взносы возврату не подлежат.</w:t>
      </w:r>
    </w:p>
    <w:p w14:paraId="57A40DF1" w14:textId="77777777" w:rsidR="00197CE9" w:rsidRPr="002008DE" w:rsidRDefault="00197CE9" w:rsidP="00197CE9">
      <w:pPr>
        <w:widowControl w:val="0"/>
        <w:jc w:val="both"/>
      </w:pPr>
    </w:p>
    <w:p w14:paraId="4BB7C4C5" w14:textId="77777777" w:rsidR="00197CE9" w:rsidRDefault="00197CE9" w:rsidP="00197CE9">
      <w:pPr>
        <w:widowControl w:val="0"/>
        <w:jc w:val="both"/>
      </w:pPr>
      <w:r w:rsidRPr="002008DE">
        <w:t>5.ЗАКЛЮЧИТЕЛЬНЫЕ ПОЛОЖЕНИЯ</w:t>
      </w:r>
    </w:p>
    <w:p w14:paraId="64049AD2" w14:textId="77777777" w:rsidR="00197CE9" w:rsidRPr="002008DE" w:rsidRDefault="00197CE9" w:rsidP="00197CE9">
      <w:pPr>
        <w:widowControl w:val="0"/>
        <w:jc w:val="both"/>
      </w:pPr>
    </w:p>
    <w:p w14:paraId="1FB461A7" w14:textId="61448EC4" w:rsidR="00197CE9" w:rsidRPr="002008DE" w:rsidRDefault="00197CE9" w:rsidP="00197CE9">
      <w:pPr>
        <w:widowControl w:val="0"/>
        <w:ind w:firstLine="567"/>
        <w:jc w:val="both"/>
      </w:pPr>
      <w:r w:rsidRPr="002008DE">
        <w:t xml:space="preserve">5.1. Настоящее Соглашение вступает в силу </w:t>
      </w:r>
      <w:r w:rsidRPr="00EE55ED">
        <w:t>с момента его подписания</w:t>
      </w:r>
      <w:r>
        <w:t xml:space="preserve"> и действует в течение одного года</w:t>
      </w:r>
      <w:r w:rsidRPr="002008DE">
        <w:t>.</w:t>
      </w:r>
    </w:p>
    <w:p w14:paraId="661304B4" w14:textId="77777777" w:rsidR="00197CE9" w:rsidRPr="002008DE" w:rsidRDefault="00197CE9" w:rsidP="00197CE9">
      <w:pPr>
        <w:widowControl w:val="0"/>
        <w:ind w:firstLine="567"/>
        <w:jc w:val="both"/>
      </w:pPr>
      <w:r w:rsidRPr="002008DE">
        <w:t>5.2. Соглашение может быть расторгнуто по инициативе любой из сторон после письменного предупреждения другой стороны за 30 дней.</w:t>
      </w:r>
    </w:p>
    <w:p w14:paraId="02A860B6" w14:textId="77777777" w:rsidR="00197CE9" w:rsidRPr="002008DE" w:rsidRDefault="00197CE9" w:rsidP="00197CE9">
      <w:pPr>
        <w:widowControl w:val="0"/>
        <w:ind w:firstLine="567"/>
        <w:jc w:val="both"/>
      </w:pPr>
      <w:r w:rsidRPr="002008DE">
        <w:t>По истечении указанного срока настоящее Соглашение теряет силу только после выполнения сторонами связанных с ним обязательств.</w:t>
      </w:r>
    </w:p>
    <w:p w14:paraId="1092C823" w14:textId="77777777" w:rsidR="00197CE9" w:rsidRPr="002008DE" w:rsidRDefault="00197CE9" w:rsidP="00197CE9">
      <w:pPr>
        <w:widowControl w:val="0"/>
        <w:ind w:firstLine="567"/>
        <w:jc w:val="both"/>
      </w:pPr>
      <w:r w:rsidRPr="002008DE">
        <w:t>5.3. Стороны имеют право вносить изменения и дополнения в настоящее Соглашение. Любое такое изменение оформляется в виде дополнения к Соглашению, которое вступает в силу с момента его подписания обеими сторонами и является неотъемлемой частью данного Соглашения.</w:t>
      </w:r>
    </w:p>
    <w:p w14:paraId="6A14AC06" w14:textId="77777777" w:rsidR="00197CE9" w:rsidRPr="002008DE" w:rsidRDefault="00197CE9" w:rsidP="00197CE9">
      <w:pPr>
        <w:widowControl w:val="0"/>
        <w:ind w:firstLine="567"/>
        <w:jc w:val="both"/>
      </w:pPr>
      <w:r w:rsidRPr="002008DE">
        <w:t>5.4. Письменными считаются договоренности, достигнутые путем обмена факсами, телексами, письмами и телеграммами.</w:t>
      </w:r>
    </w:p>
    <w:p w14:paraId="361853B2" w14:textId="77777777" w:rsidR="00197CE9" w:rsidRPr="002008DE" w:rsidRDefault="00197CE9" w:rsidP="00197CE9">
      <w:pPr>
        <w:widowControl w:val="0"/>
        <w:ind w:firstLine="567"/>
        <w:jc w:val="both"/>
      </w:pPr>
      <w:r w:rsidRPr="002008DE">
        <w:t>5.5. Настоящее Соглашение составлено в 2-х идентичных экземплярах, имеющих равную юридическую силу. Один экземпляр Соглашения хранится у Аккредитованной организации (иного лица), другой – у Союза.</w:t>
      </w:r>
    </w:p>
    <w:p w14:paraId="5E4FB49F" w14:textId="77777777" w:rsidR="00197CE9" w:rsidRPr="002008DE" w:rsidRDefault="00197CE9" w:rsidP="00197CE9">
      <w:pPr>
        <w:widowControl w:val="0"/>
        <w:jc w:val="both"/>
      </w:pPr>
    </w:p>
    <w:p w14:paraId="32D11340" w14:textId="16569C55" w:rsidR="00197CE9" w:rsidRDefault="00B05A51" w:rsidP="00B05A51">
      <w:pPr>
        <w:widowControl w:val="0"/>
        <w:jc w:val="both"/>
      </w:pPr>
      <w:r>
        <w:rPr>
          <w:lang w:val="en-US"/>
        </w:rPr>
        <w:t>6.</w:t>
      </w:r>
      <w:r w:rsidR="00197CE9" w:rsidRPr="002008DE">
        <w:t>ПОДПИСИ СТОРОН:</w:t>
      </w:r>
    </w:p>
    <w:p w14:paraId="1C143F80" w14:textId="77777777" w:rsidR="00B05A51" w:rsidRPr="002008DE" w:rsidRDefault="00B05A51" w:rsidP="00B05A51">
      <w:pPr>
        <w:widowControl w:val="0"/>
        <w:jc w:val="both"/>
      </w:pPr>
    </w:p>
    <w:tbl>
      <w:tblPr>
        <w:tblW w:w="9580" w:type="dxa"/>
        <w:tblLayout w:type="fixed"/>
        <w:tblLook w:val="0000" w:firstRow="0" w:lastRow="0" w:firstColumn="0" w:lastColumn="0" w:noHBand="0" w:noVBand="0"/>
      </w:tblPr>
      <w:tblGrid>
        <w:gridCol w:w="4642"/>
        <w:gridCol w:w="15"/>
        <w:gridCol w:w="548"/>
        <w:gridCol w:w="4375"/>
      </w:tblGrid>
      <w:tr w:rsidR="00197CE9" w:rsidRPr="002008DE" w14:paraId="3D2B258B" w14:textId="77777777" w:rsidTr="00197CE9">
        <w:trPr>
          <w:trHeight w:val="577"/>
        </w:trPr>
        <w:tc>
          <w:tcPr>
            <w:tcW w:w="4657" w:type="dxa"/>
            <w:gridSpan w:val="2"/>
            <w:tcBorders>
              <w:top w:val="nil"/>
              <w:left w:val="nil"/>
              <w:bottom w:val="single" w:sz="4" w:space="0" w:color="auto"/>
              <w:right w:val="nil"/>
            </w:tcBorders>
          </w:tcPr>
          <w:p w14:paraId="01ECEAD2" w14:textId="77777777" w:rsidR="006B55C1" w:rsidRDefault="00197CE9" w:rsidP="00B85FA8">
            <w:pPr>
              <w:pStyle w:val="a3"/>
              <w:spacing w:after="0"/>
            </w:pPr>
            <w:r w:rsidRPr="006B55C1">
              <w:t xml:space="preserve">Генеральный директор </w:t>
            </w:r>
          </w:p>
          <w:p w14:paraId="19DC4FC6" w14:textId="14DD1EA2" w:rsidR="00197CE9" w:rsidRPr="006B55C1" w:rsidRDefault="00197CE9" w:rsidP="00B85FA8">
            <w:pPr>
              <w:pStyle w:val="a3"/>
              <w:spacing w:after="0"/>
            </w:pPr>
            <w:r w:rsidRPr="006B55C1">
              <w:t>Союза арбитражных управляющих</w:t>
            </w:r>
          </w:p>
        </w:tc>
        <w:tc>
          <w:tcPr>
            <w:tcW w:w="548" w:type="dxa"/>
            <w:tcBorders>
              <w:top w:val="nil"/>
              <w:left w:val="nil"/>
              <w:bottom w:val="nil"/>
              <w:right w:val="nil"/>
            </w:tcBorders>
          </w:tcPr>
          <w:p w14:paraId="33ED2A62" w14:textId="77777777" w:rsidR="00197CE9" w:rsidRPr="002008DE" w:rsidRDefault="00197CE9" w:rsidP="00B85FA8">
            <w:pPr>
              <w:pStyle w:val="a3"/>
              <w:spacing w:after="0"/>
              <w:jc w:val="center"/>
              <w:rPr>
                <w:b/>
                <w:bCs/>
              </w:rPr>
            </w:pPr>
          </w:p>
        </w:tc>
        <w:tc>
          <w:tcPr>
            <w:tcW w:w="4375" w:type="dxa"/>
            <w:tcBorders>
              <w:top w:val="nil"/>
              <w:left w:val="nil"/>
              <w:bottom w:val="single" w:sz="4" w:space="0" w:color="auto"/>
              <w:right w:val="nil"/>
            </w:tcBorders>
          </w:tcPr>
          <w:p w14:paraId="2C7FC812" w14:textId="77777777" w:rsidR="00197CE9" w:rsidRPr="002008DE" w:rsidRDefault="00197CE9" w:rsidP="00B85FA8">
            <w:pPr>
              <w:pStyle w:val="a3"/>
              <w:spacing w:after="0"/>
              <w:jc w:val="right"/>
              <w:rPr>
                <w:b/>
                <w:bCs/>
              </w:rPr>
            </w:pPr>
          </w:p>
        </w:tc>
      </w:tr>
      <w:tr w:rsidR="00197CE9" w:rsidRPr="002008DE" w14:paraId="07DB9038" w14:textId="77777777" w:rsidTr="00197CE9">
        <w:trPr>
          <w:trHeight w:val="562"/>
        </w:trPr>
        <w:tc>
          <w:tcPr>
            <w:tcW w:w="4642" w:type="dxa"/>
            <w:tcBorders>
              <w:top w:val="nil"/>
              <w:left w:val="nil"/>
              <w:bottom w:val="single" w:sz="4" w:space="0" w:color="auto"/>
              <w:right w:val="nil"/>
            </w:tcBorders>
          </w:tcPr>
          <w:p w14:paraId="74AEAF25" w14:textId="77777777" w:rsidR="00197CE9" w:rsidRPr="006B55C1" w:rsidRDefault="00197CE9" w:rsidP="00197CE9">
            <w:pPr>
              <w:tabs>
                <w:tab w:val="left" w:pos="2412"/>
              </w:tabs>
            </w:pPr>
            <w:r w:rsidRPr="006B55C1">
              <w:t>«Национальный Центр Реструктуризации и Банкротства»</w:t>
            </w:r>
          </w:p>
        </w:tc>
        <w:tc>
          <w:tcPr>
            <w:tcW w:w="563" w:type="dxa"/>
            <w:gridSpan w:val="2"/>
            <w:tcBorders>
              <w:top w:val="nil"/>
              <w:left w:val="nil"/>
              <w:bottom w:val="nil"/>
              <w:right w:val="nil"/>
            </w:tcBorders>
          </w:tcPr>
          <w:p w14:paraId="6C820AC9" w14:textId="77777777" w:rsidR="00197CE9" w:rsidRPr="002008DE" w:rsidRDefault="00197CE9" w:rsidP="00197CE9">
            <w:pPr>
              <w:rPr>
                <w:b/>
                <w:bCs/>
              </w:rPr>
            </w:pPr>
          </w:p>
        </w:tc>
        <w:tc>
          <w:tcPr>
            <w:tcW w:w="4375" w:type="dxa"/>
            <w:tcBorders>
              <w:top w:val="single" w:sz="4" w:space="0" w:color="auto"/>
              <w:left w:val="nil"/>
              <w:bottom w:val="single" w:sz="4" w:space="0" w:color="auto"/>
              <w:right w:val="nil"/>
            </w:tcBorders>
          </w:tcPr>
          <w:p w14:paraId="53E4B409" w14:textId="77777777" w:rsidR="00197CE9" w:rsidRPr="002008DE" w:rsidRDefault="00197CE9" w:rsidP="00197CE9">
            <w:pPr>
              <w:rPr>
                <w:b/>
                <w:bCs/>
              </w:rPr>
            </w:pPr>
          </w:p>
        </w:tc>
      </w:tr>
      <w:tr w:rsidR="00197CE9" w:rsidRPr="002008DE" w14:paraId="14198A9D" w14:textId="77777777" w:rsidTr="00197CE9">
        <w:trPr>
          <w:trHeight w:val="281"/>
        </w:trPr>
        <w:tc>
          <w:tcPr>
            <w:tcW w:w="4642" w:type="dxa"/>
            <w:tcBorders>
              <w:top w:val="nil"/>
              <w:left w:val="nil"/>
              <w:bottom w:val="single" w:sz="4" w:space="0" w:color="auto"/>
              <w:right w:val="nil"/>
            </w:tcBorders>
          </w:tcPr>
          <w:p w14:paraId="7204FBF6" w14:textId="77777777" w:rsidR="006B55C1" w:rsidRDefault="004D105A" w:rsidP="00B85FA8">
            <w:pPr>
              <w:tabs>
                <w:tab w:val="left" w:pos="2412"/>
              </w:tabs>
              <w:jc w:val="both"/>
            </w:pPr>
            <w:r w:rsidRPr="006B55C1">
              <w:t xml:space="preserve">                                        </w:t>
            </w:r>
          </w:p>
          <w:p w14:paraId="0D386ABF" w14:textId="642BB1F4" w:rsidR="00197CE9" w:rsidRPr="006B55C1" w:rsidRDefault="006B55C1" w:rsidP="00B85FA8">
            <w:pPr>
              <w:tabs>
                <w:tab w:val="left" w:pos="2412"/>
              </w:tabs>
              <w:jc w:val="both"/>
            </w:pPr>
            <w:r>
              <w:t xml:space="preserve">                                           </w:t>
            </w:r>
            <w:r w:rsidR="004D105A" w:rsidRPr="006B55C1">
              <w:t>Е.К. Байрамукова</w:t>
            </w:r>
          </w:p>
        </w:tc>
        <w:tc>
          <w:tcPr>
            <w:tcW w:w="563" w:type="dxa"/>
            <w:gridSpan w:val="2"/>
            <w:tcBorders>
              <w:top w:val="nil"/>
              <w:left w:val="nil"/>
              <w:bottom w:val="nil"/>
              <w:right w:val="nil"/>
            </w:tcBorders>
          </w:tcPr>
          <w:p w14:paraId="4863CFEB" w14:textId="77777777" w:rsidR="00197CE9" w:rsidRPr="002008DE" w:rsidRDefault="00197CE9" w:rsidP="00B85FA8">
            <w:pPr>
              <w:jc w:val="both"/>
              <w:rPr>
                <w:b/>
                <w:bCs/>
              </w:rPr>
            </w:pPr>
          </w:p>
        </w:tc>
        <w:tc>
          <w:tcPr>
            <w:tcW w:w="4375" w:type="dxa"/>
            <w:tcBorders>
              <w:top w:val="single" w:sz="4" w:space="0" w:color="auto"/>
              <w:left w:val="nil"/>
              <w:bottom w:val="single" w:sz="4" w:space="0" w:color="auto"/>
              <w:right w:val="nil"/>
            </w:tcBorders>
          </w:tcPr>
          <w:p w14:paraId="382C3C7E" w14:textId="77777777" w:rsidR="00197CE9" w:rsidRPr="002008DE" w:rsidRDefault="00197CE9" w:rsidP="00B85FA8">
            <w:pPr>
              <w:jc w:val="both"/>
              <w:rPr>
                <w:b/>
                <w:bCs/>
              </w:rPr>
            </w:pPr>
          </w:p>
        </w:tc>
      </w:tr>
      <w:tr w:rsidR="00197CE9" w:rsidRPr="00E371FD" w14:paraId="51FDD7A2" w14:textId="77777777" w:rsidTr="00197CE9">
        <w:trPr>
          <w:trHeight w:val="577"/>
        </w:trPr>
        <w:tc>
          <w:tcPr>
            <w:tcW w:w="4642" w:type="dxa"/>
            <w:tcBorders>
              <w:top w:val="single" w:sz="4" w:space="0" w:color="auto"/>
              <w:left w:val="nil"/>
              <w:bottom w:val="single" w:sz="4" w:space="0" w:color="auto"/>
              <w:right w:val="nil"/>
            </w:tcBorders>
          </w:tcPr>
          <w:p w14:paraId="32E75E89" w14:textId="68E20A28" w:rsidR="00197CE9" w:rsidRPr="00E371FD" w:rsidRDefault="00913073" w:rsidP="00B85FA8">
            <w:pPr>
              <w:tabs>
                <w:tab w:val="left" w:pos="2412"/>
              </w:tabs>
              <w:jc w:val="both"/>
              <w:rPr>
                <w:bCs/>
              </w:rPr>
            </w:pPr>
            <w:r w:rsidRPr="00913073">
              <w:rPr>
                <w:bCs/>
              </w:rPr>
              <w:t>123112, г. Москва, проезд 1-й Красногвардейский, д. 22 стр. 2, помещ. 110</w:t>
            </w:r>
          </w:p>
        </w:tc>
        <w:tc>
          <w:tcPr>
            <w:tcW w:w="563" w:type="dxa"/>
            <w:gridSpan w:val="2"/>
            <w:tcBorders>
              <w:top w:val="nil"/>
              <w:left w:val="nil"/>
              <w:bottom w:val="nil"/>
              <w:right w:val="nil"/>
            </w:tcBorders>
          </w:tcPr>
          <w:p w14:paraId="71227BC4" w14:textId="77777777" w:rsidR="00197CE9" w:rsidRPr="00E371FD" w:rsidRDefault="00197CE9" w:rsidP="00B85FA8">
            <w:pPr>
              <w:jc w:val="both"/>
              <w:rPr>
                <w:b/>
                <w:bCs/>
              </w:rPr>
            </w:pPr>
          </w:p>
        </w:tc>
        <w:tc>
          <w:tcPr>
            <w:tcW w:w="4375" w:type="dxa"/>
            <w:tcBorders>
              <w:top w:val="single" w:sz="4" w:space="0" w:color="auto"/>
              <w:left w:val="nil"/>
              <w:bottom w:val="single" w:sz="4" w:space="0" w:color="auto"/>
              <w:right w:val="nil"/>
            </w:tcBorders>
          </w:tcPr>
          <w:p w14:paraId="52F311C7" w14:textId="77777777" w:rsidR="00197CE9" w:rsidRPr="00E371FD" w:rsidRDefault="00197CE9" w:rsidP="00B85FA8">
            <w:pPr>
              <w:jc w:val="both"/>
              <w:rPr>
                <w:b/>
                <w:bCs/>
              </w:rPr>
            </w:pPr>
          </w:p>
        </w:tc>
      </w:tr>
      <w:tr w:rsidR="00197CE9" w:rsidRPr="00E371FD" w14:paraId="139E6E14" w14:textId="77777777" w:rsidTr="00197CE9">
        <w:trPr>
          <w:trHeight w:val="281"/>
        </w:trPr>
        <w:tc>
          <w:tcPr>
            <w:tcW w:w="4642" w:type="dxa"/>
            <w:tcBorders>
              <w:top w:val="single" w:sz="4" w:space="0" w:color="auto"/>
              <w:left w:val="nil"/>
              <w:bottom w:val="single" w:sz="4" w:space="0" w:color="auto"/>
              <w:right w:val="nil"/>
            </w:tcBorders>
          </w:tcPr>
          <w:p w14:paraId="1246419D" w14:textId="77777777" w:rsidR="00197CE9" w:rsidRPr="00E371FD" w:rsidRDefault="00197CE9" w:rsidP="00B85FA8">
            <w:pPr>
              <w:tabs>
                <w:tab w:val="left" w:pos="2412"/>
              </w:tabs>
              <w:jc w:val="both"/>
              <w:rPr>
                <w:bCs/>
              </w:rPr>
            </w:pPr>
            <w:r w:rsidRPr="00E371FD">
              <w:rPr>
                <w:bCs/>
              </w:rPr>
              <w:t xml:space="preserve">Тел. 8(812) </w:t>
            </w:r>
            <w:r w:rsidRPr="00E371FD">
              <w:rPr>
                <w:lang w:val="en-US"/>
              </w:rPr>
              <w:t>454-55-36, 454-55-37</w:t>
            </w:r>
          </w:p>
        </w:tc>
        <w:tc>
          <w:tcPr>
            <w:tcW w:w="563" w:type="dxa"/>
            <w:gridSpan w:val="2"/>
            <w:tcBorders>
              <w:top w:val="nil"/>
              <w:left w:val="nil"/>
              <w:bottom w:val="nil"/>
              <w:right w:val="nil"/>
            </w:tcBorders>
          </w:tcPr>
          <w:p w14:paraId="2C4FDCC2" w14:textId="77777777" w:rsidR="00197CE9" w:rsidRPr="00E371FD" w:rsidRDefault="00197CE9" w:rsidP="00B85FA8">
            <w:pPr>
              <w:jc w:val="both"/>
              <w:rPr>
                <w:b/>
                <w:bCs/>
              </w:rPr>
            </w:pPr>
          </w:p>
        </w:tc>
        <w:tc>
          <w:tcPr>
            <w:tcW w:w="4375" w:type="dxa"/>
            <w:tcBorders>
              <w:top w:val="single" w:sz="4" w:space="0" w:color="auto"/>
              <w:left w:val="nil"/>
              <w:bottom w:val="single" w:sz="4" w:space="0" w:color="auto"/>
              <w:right w:val="nil"/>
            </w:tcBorders>
          </w:tcPr>
          <w:p w14:paraId="0ED4C536" w14:textId="77777777" w:rsidR="00197CE9" w:rsidRPr="00E371FD" w:rsidRDefault="00197CE9" w:rsidP="00B85FA8">
            <w:pPr>
              <w:jc w:val="both"/>
              <w:rPr>
                <w:b/>
                <w:bCs/>
              </w:rPr>
            </w:pPr>
          </w:p>
        </w:tc>
      </w:tr>
    </w:tbl>
    <w:p w14:paraId="3FF1B75A" w14:textId="49AD0AB2" w:rsidR="00197CE9" w:rsidRPr="002008DE" w:rsidRDefault="00197CE9" w:rsidP="00197CE9">
      <w:pPr>
        <w:pStyle w:val="a3"/>
        <w:spacing w:after="0"/>
      </w:pPr>
      <w:r w:rsidRPr="00E371FD">
        <w:t>“ __   ”__________20__ г.</w:t>
      </w:r>
      <w:r w:rsidRPr="002008DE">
        <w:tab/>
      </w:r>
      <w:r w:rsidRPr="002008DE">
        <w:tab/>
        <w:t xml:space="preserve">   </w:t>
      </w:r>
      <w:r w:rsidRPr="002008DE">
        <w:tab/>
      </w:r>
      <w:r w:rsidRPr="002008DE">
        <w:tab/>
        <w:t xml:space="preserve">    “ ___   ”__________20___ г.</w:t>
      </w:r>
    </w:p>
    <w:p w14:paraId="3713D97A" w14:textId="77777777" w:rsidR="00197CE9" w:rsidRPr="002008DE" w:rsidRDefault="00197CE9" w:rsidP="00197CE9">
      <w:pPr>
        <w:widowControl w:val="0"/>
        <w:jc w:val="both"/>
      </w:pPr>
    </w:p>
    <w:p w14:paraId="0F8AF8BC" w14:textId="77777777" w:rsidR="00197CE9" w:rsidRPr="002008DE" w:rsidRDefault="00197CE9" w:rsidP="00197CE9">
      <w:pPr>
        <w:widowControl w:val="0"/>
        <w:jc w:val="both"/>
      </w:pPr>
    </w:p>
    <w:p w14:paraId="48057550" w14:textId="77777777" w:rsidR="00197CE9" w:rsidRDefault="00197CE9"/>
    <w:sectPr w:rsidR="00197C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128F7"/>
    <w:multiLevelType w:val="multilevel"/>
    <w:tmpl w:val="71D6997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92557BF"/>
    <w:multiLevelType w:val="hybridMultilevel"/>
    <w:tmpl w:val="2FFC3328"/>
    <w:lvl w:ilvl="0" w:tplc="FFFFFFFF">
      <w:start w:val="1"/>
      <w:numFmt w:val="decimal"/>
      <w:lvlText w:val="%1."/>
      <w:lvlJc w:val="left"/>
      <w:pPr>
        <w:ind w:left="720" w:hanging="360"/>
      </w:pPr>
    </w:lvl>
    <w:lvl w:ilvl="1" w:tplc="FFFFFFFF">
      <w:start w:val="1"/>
      <w:numFmt w:val="lowerLetter"/>
      <w:lvlText w:val="%2."/>
      <w:lvlJc w:val="left"/>
      <w:pPr>
        <w:ind w:left="107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3F1455"/>
    <w:multiLevelType w:val="hybridMultilevel"/>
    <w:tmpl w:val="F006D90E"/>
    <w:lvl w:ilvl="0" w:tplc="04190017">
      <w:start w:val="1"/>
      <w:numFmt w:val="lowerLetter"/>
      <w:lvlText w:val="%1)"/>
      <w:lvlJc w:val="left"/>
      <w:pPr>
        <w:ind w:left="1440" w:hanging="360"/>
      </w:pPr>
    </w:lvl>
    <w:lvl w:ilvl="1" w:tplc="B9DA8F40">
      <w:start w:val="1"/>
      <w:numFmt w:val="bullet"/>
      <w:lvlText w:val=""/>
      <w:lvlJc w:val="left"/>
      <w:pPr>
        <w:ind w:left="2160" w:hanging="360"/>
      </w:pPr>
      <w:rPr>
        <w:rFonts w:ascii="Symbol" w:hAnsi="Symbol" w:hint="default"/>
      </w:rPr>
    </w:lvl>
    <w:lvl w:ilvl="2" w:tplc="FCB0B9F6">
      <w:start w:val="10"/>
      <w:numFmt w:val="bullet"/>
      <w:lvlText w:val=""/>
      <w:lvlJc w:val="left"/>
      <w:pPr>
        <w:ind w:left="3060" w:hanging="360"/>
      </w:pPr>
      <w:rPr>
        <w:rFonts w:ascii="Symbol" w:eastAsia="Times New Roman" w:hAnsi="Symbol" w:cs="Times New Roman" w:hint="default"/>
      </w:rPr>
    </w:lvl>
    <w:lvl w:ilvl="3" w:tplc="7D84A206">
      <w:start w:val="3"/>
      <w:numFmt w:val="decimal"/>
      <w:lvlText w:val="%4."/>
      <w:lvlJc w:val="left"/>
      <w:pPr>
        <w:ind w:left="3600" w:hanging="360"/>
      </w:pPr>
      <w:rPr>
        <w:rFonts w:hint="default"/>
      </w:r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E9"/>
    <w:rsid w:val="00197CE9"/>
    <w:rsid w:val="002676D2"/>
    <w:rsid w:val="002B1221"/>
    <w:rsid w:val="004626CA"/>
    <w:rsid w:val="004A7785"/>
    <w:rsid w:val="004D105A"/>
    <w:rsid w:val="006B55C1"/>
    <w:rsid w:val="00765B03"/>
    <w:rsid w:val="008F4FCE"/>
    <w:rsid w:val="00913073"/>
    <w:rsid w:val="00B05A51"/>
    <w:rsid w:val="00B56373"/>
    <w:rsid w:val="00FD02BD"/>
    <w:rsid w:val="00FD4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6F2D"/>
  <w15:chartTrackingRefBased/>
  <w15:docId w15:val="{BB44A8F9-4B85-467E-BF73-CF2493F7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CE9"/>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97CE9"/>
    <w:pPr>
      <w:spacing w:after="120"/>
    </w:pPr>
  </w:style>
  <w:style w:type="character" w:customStyle="1" w:styleId="a4">
    <w:name w:val="Основной текст Знак"/>
    <w:basedOn w:val="a0"/>
    <w:link w:val="a3"/>
    <w:rsid w:val="00197CE9"/>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rsid w:val="00197CE9"/>
  </w:style>
  <w:style w:type="character" w:customStyle="1" w:styleId="a5">
    <w:name w:val="Основной текст_"/>
    <w:link w:val="1"/>
    <w:rsid w:val="00197CE9"/>
    <w:rPr>
      <w:b/>
      <w:bCs/>
    </w:rPr>
  </w:style>
  <w:style w:type="paragraph" w:customStyle="1" w:styleId="1">
    <w:name w:val="Основной текст1"/>
    <w:basedOn w:val="a"/>
    <w:link w:val="a5"/>
    <w:rsid w:val="00197CE9"/>
    <w:pPr>
      <w:widowControl w:val="0"/>
      <w:spacing w:line="266" w:lineRule="auto"/>
      <w:jc w:val="right"/>
    </w:pPr>
    <w:rPr>
      <w:rFonts w:asciiTheme="minorHAnsi" w:eastAsiaTheme="minorHAnsi" w:hAnsiTheme="minorHAnsi" w:cstheme="minorBidi"/>
      <w:b/>
      <w:bCs/>
      <w:kern w:val="2"/>
      <w:sz w:val="22"/>
      <w:szCs w:val="22"/>
      <w:lang w:eastAsia="en-US"/>
      <w14:ligatures w14:val="standardContextual"/>
    </w:rPr>
  </w:style>
  <w:style w:type="paragraph" w:styleId="a6">
    <w:name w:val="List Paragraph"/>
    <w:basedOn w:val="a"/>
    <w:uiPriority w:val="34"/>
    <w:qFormat/>
    <w:rsid w:val="00B05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1162</Words>
  <Characters>6626</Characters>
  <Application>Microsoft Office Word</Application>
  <DocSecurity>0</DocSecurity>
  <Lines>55</Lines>
  <Paragraphs>15</Paragraphs>
  <ScaleCrop>false</ScaleCrop>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user-08</dc:creator>
  <cp:keywords/>
  <dc:description/>
  <cp:lastModifiedBy>u10345</cp:lastModifiedBy>
  <cp:revision>7</cp:revision>
  <dcterms:created xsi:type="dcterms:W3CDTF">2025-09-18T16:12:00Z</dcterms:created>
  <dcterms:modified xsi:type="dcterms:W3CDTF">2026-01-14T07:22:00Z</dcterms:modified>
</cp:coreProperties>
</file>